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88E" w:rsidRPr="00801D52" w:rsidRDefault="00584D86" w:rsidP="00801D52">
      <w:pPr>
        <w:pBdr>
          <w:bottom w:val="single" w:sz="6" w:space="0" w:color="A2A9B1"/>
        </w:pBdr>
        <w:spacing w:after="60" w:line="240" w:lineRule="auto"/>
        <w:ind w:left="-720" w:right="-630"/>
        <w:jc w:val="center"/>
        <w:outlineLvl w:val="0"/>
        <w:rPr>
          <w:rFonts w:ascii="Georgia" w:eastAsia="Times New Roman" w:hAnsi="Georgia" w:cs="Times New Roman"/>
          <w:color w:val="000000"/>
          <w:kern w:val="36"/>
          <w:sz w:val="34"/>
          <w:szCs w:val="34"/>
          <w:lang w:val="en"/>
        </w:rPr>
      </w:pPr>
      <w:r w:rsidRPr="00801D52">
        <w:rPr>
          <w:rFonts w:ascii="Georgia" w:eastAsia="Times New Roman" w:hAnsi="Georgia" w:cs="Times New Roman"/>
          <w:color w:val="000000"/>
          <w:kern w:val="36"/>
          <w:sz w:val="34"/>
          <w:szCs w:val="34"/>
          <w:lang w:val="en"/>
        </w:rPr>
        <w:t>20</w:t>
      </w:r>
      <w:r w:rsidRPr="00801D52">
        <w:rPr>
          <w:rFonts w:ascii="Georgia" w:eastAsia="Times New Roman" w:hAnsi="Georgia" w:cs="Times New Roman"/>
          <w:color w:val="000000"/>
          <w:kern w:val="36"/>
          <w:sz w:val="34"/>
          <w:szCs w:val="34"/>
          <w:vertAlign w:val="superscript"/>
          <w:lang w:val="en"/>
        </w:rPr>
        <w:t>th</w:t>
      </w:r>
      <w:r w:rsidRPr="00801D52">
        <w:rPr>
          <w:rFonts w:ascii="Georgia" w:eastAsia="Times New Roman" w:hAnsi="Georgia" w:cs="Times New Roman"/>
          <w:color w:val="000000"/>
          <w:kern w:val="36"/>
          <w:sz w:val="34"/>
          <w:szCs w:val="34"/>
          <w:lang w:val="en"/>
        </w:rPr>
        <w:t xml:space="preserve"> </w:t>
      </w:r>
      <w:r w:rsidR="00801D52" w:rsidRPr="00801D52">
        <w:rPr>
          <w:rFonts w:ascii="Georgia" w:eastAsia="Times New Roman" w:hAnsi="Georgia" w:cs="Times New Roman"/>
          <w:color w:val="000000"/>
          <w:kern w:val="36"/>
          <w:sz w:val="34"/>
          <w:szCs w:val="34"/>
          <w:lang w:val="en"/>
        </w:rPr>
        <w:t>A</w:t>
      </w:r>
      <w:r w:rsidRPr="00801D52">
        <w:rPr>
          <w:rFonts w:ascii="Georgia" w:eastAsia="Times New Roman" w:hAnsi="Georgia" w:cs="Times New Roman"/>
          <w:color w:val="000000"/>
          <w:kern w:val="36"/>
          <w:sz w:val="34"/>
          <w:szCs w:val="34"/>
          <w:lang w:val="en"/>
        </w:rPr>
        <w:t xml:space="preserve">nniversary of the US </w:t>
      </w:r>
      <w:r w:rsidR="0014788E" w:rsidRPr="00801D52">
        <w:rPr>
          <w:rFonts w:ascii="Georgia" w:eastAsia="Times New Roman" w:hAnsi="Georgia" w:cs="Times New Roman"/>
          <w:color w:val="000000"/>
          <w:kern w:val="36"/>
          <w:sz w:val="34"/>
          <w:szCs w:val="34"/>
          <w:lang w:val="en"/>
        </w:rPr>
        <w:t>Internation</w:t>
      </w:r>
      <w:r w:rsidR="00801D52">
        <w:rPr>
          <w:rFonts w:ascii="Georgia" w:eastAsia="Times New Roman" w:hAnsi="Georgia" w:cs="Times New Roman"/>
          <w:color w:val="000000"/>
          <w:kern w:val="36"/>
          <w:sz w:val="34"/>
          <w:szCs w:val="34"/>
          <w:lang w:val="en"/>
        </w:rPr>
        <w:t>al Religious Freedom Act</w:t>
      </w:r>
    </w:p>
    <w:p w:rsidR="0014788E" w:rsidRDefault="00563E7B" w:rsidP="00584D86">
      <w:pPr>
        <w:spacing w:after="0" w:line="240" w:lineRule="auto"/>
        <w:ind w:left="-720" w:right="-630"/>
        <w:jc w:val="center"/>
        <w:rPr>
          <w:rFonts w:ascii="Arial" w:eastAsia="Times New Roman" w:hAnsi="Arial" w:cs="Arial"/>
          <w:color w:val="222222"/>
          <w:sz w:val="21"/>
          <w:szCs w:val="21"/>
        </w:rPr>
      </w:pPr>
      <w:r>
        <w:rPr>
          <w:rFonts w:ascii="Arial" w:eastAsia="Times New Roman" w:hAnsi="Arial" w:cs="Arial"/>
          <w:color w:val="222222"/>
          <w:sz w:val="21"/>
          <w:szCs w:val="21"/>
        </w:rPr>
        <w:t>As per Wikipedia October 2018</w:t>
      </w:r>
    </w:p>
    <w:p w:rsidR="00801D52" w:rsidRPr="0014788E" w:rsidRDefault="00801D52" w:rsidP="00584D86">
      <w:pPr>
        <w:spacing w:after="0" w:line="240" w:lineRule="auto"/>
        <w:ind w:left="-720" w:right="-630"/>
        <w:jc w:val="center"/>
        <w:rPr>
          <w:rFonts w:ascii="Arial" w:eastAsia="Times New Roman" w:hAnsi="Arial" w:cs="Arial"/>
          <w:color w:val="222222"/>
          <w:sz w:val="21"/>
          <w:szCs w:val="21"/>
        </w:rPr>
      </w:pP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The </w:t>
      </w:r>
      <w:r w:rsidRPr="00563E7B">
        <w:rPr>
          <w:rFonts w:ascii="Arial" w:eastAsia="Times New Roman" w:hAnsi="Arial" w:cs="Arial"/>
          <w:b/>
          <w:bCs/>
          <w:sz w:val="21"/>
          <w:szCs w:val="21"/>
          <w:lang w:val="en"/>
        </w:rPr>
        <w:t>International Religious Freedom Act of 1998</w:t>
      </w:r>
      <w:r w:rsidRPr="00563E7B">
        <w:rPr>
          <w:rFonts w:ascii="Arial" w:eastAsia="Times New Roman" w:hAnsi="Arial" w:cs="Arial"/>
          <w:sz w:val="21"/>
          <w:szCs w:val="21"/>
          <w:lang w:val="en"/>
        </w:rPr>
        <w:t> was passed to promote </w:t>
      </w:r>
      <w:hyperlink r:id="rId5" w:tooltip="Freedom of religion" w:history="1">
        <w:r w:rsidRPr="00563E7B">
          <w:rPr>
            <w:rFonts w:ascii="Arial" w:eastAsia="Times New Roman" w:hAnsi="Arial" w:cs="Arial"/>
            <w:sz w:val="21"/>
            <w:szCs w:val="21"/>
            <w:lang w:val="en"/>
          </w:rPr>
          <w:t>religious freedom</w:t>
        </w:r>
      </w:hyperlink>
      <w:r w:rsidRPr="00563E7B">
        <w:rPr>
          <w:rFonts w:ascii="Arial" w:eastAsia="Times New Roman" w:hAnsi="Arial" w:cs="Arial"/>
          <w:sz w:val="21"/>
          <w:szCs w:val="21"/>
          <w:lang w:val="en"/>
        </w:rPr>
        <w:t> as a </w:t>
      </w:r>
      <w:hyperlink r:id="rId6" w:tooltip="Foreign policy of the United States" w:history="1">
        <w:r w:rsidRPr="00563E7B">
          <w:rPr>
            <w:rFonts w:ascii="Arial" w:eastAsia="Times New Roman" w:hAnsi="Arial" w:cs="Arial"/>
            <w:sz w:val="21"/>
            <w:szCs w:val="21"/>
            <w:lang w:val="en"/>
          </w:rPr>
          <w:t>foreign policy of the United States</w:t>
        </w:r>
      </w:hyperlink>
      <w:r w:rsidRPr="00563E7B">
        <w:rPr>
          <w:rFonts w:ascii="Arial" w:eastAsia="Times New Roman" w:hAnsi="Arial" w:cs="Arial"/>
          <w:sz w:val="21"/>
          <w:szCs w:val="21"/>
          <w:lang w:val="en"/>
        </w:rPr>
        <w:t>, to promote greater religious freedom in countries which engage in or tolerate violations of religious freedom, and to advocate on the behalf of individuals persecuted for their religious beliefs and activities in foreign countries. The Act was signed into law by </w:t>
      </w:r>
      <w:hyperlink r:id="rId7" w:tooltip="President of the United States" w:history="1">
        <w:r w:rsidRPr="00563E7B">
          <w:rPr>
            <w:rFonts w:ascii="Arial" w:eastAsia="Times New Roman" w:hAnsi="Arial" w:cs="Arial"/>
            <w:sz w:val="21"/>
            <w:szCs w:val="21"/>
            <w:lang w:val="en"/>
          </w:rPr>
          <w:t>President</w:t>
        </w:r>
      </w:hyperlink>
      <w:r w:rsidRPr="00563E7B">
        <w:rPr>
          <w:rFonts w:ascii="Arial" w:eastAsia="Times New Roman" w:hAnsi="Arial" w:cs="Arial"/>
          <w:sz w:val="21"/>
          <w:szCs w:val="21"/>
          <w:lang w:val="en"/>
        </w:rPr>
        <w:t> </w:t>
      </w:r>
      <w:hyperlink r:id="rId8" w:tooltip="Bill Clinton" w:history="1">
        <w:r w:rsidRPr="00563E7B">
          <w:rPr>
            <w:rFonts w:ascii="Arial" w:eastAsia="Times New Roman" w:hAnsi="Arial" w:cs="Arial"/>
            <w:sz w:val="21"/>
            <w:szCs w:val="21"/>
            <w:lang w:val="en"/>
          </w:rPr>
          <w:t>Bill Clinton</w:t>
        </w:r>
      </w:hyperlink>
      <w:r w:rsidRPr="00563E7B">
        <w:rPr>
          <w:rFonts w:ascii="Arial" w:eastAsia="Times New Roman" w:hAnsi="Arial" w:cs="Arial"/>
          <w:sz w:val="21"/>
          <w:szCs w:val="21"/>
          <w:lang w:val="en"/>
        </w:rPr>
        <w:t> on October 27, 1998. Three cooperative entities have been maintained by this act to monitor religious persecution.</w:t>
      </w:r>
    </w:p>
    <w:p w:rsidR="0014788E" w:rsidRPr="00563E7B" w:rsidRDefault="0014788E" w:rsidP="00584D86">
      <w:pPr>
        <w:numPr>
          <w:ilvl w:val="0"/>
          <w:numId w:val="2"/>
        </w:numPr>
        <w:spacing w:before="100" w:beforeAutospacing="1" w:after="24" w:line="240" w:lineRule="auto"/>
        <w:ind w:left="-360" w:right="-630"/>
        <w:rPr>
          <w:rFonts w:ascii="Arial" w:eastAsia="Times New Roman" w:hAnsi="Arial" w:cs="Arial"/>
          <w:sz w:val="21"/>
          <w:szCs w:val="21"/>
          <w:lang w:val="en"/>
        </w:rPr>
      </w:pPr>
      <w:r w:rsidRPr="00563E7B">
        <w:rPr>
          <w:rFonts w:ascii="Arial" w:eastAsia="Times New Roman" w:hAnsi="Arial" w:cs="Arial"/>
          <w:sz w:val="21"/>
          <w:szCs w:val="21"/>
          <w:lang w:val="en"/>
        </w:rPr>
        <w:t>An </w:t>
      </w:r>
      <w:hyperlink r:id="rId9" w:tooltip="Ambassador-at-Large for International Religious Freedom" w:history="1">
        <w:r w:rsidRPr="00563E7B">
          <w:rPr>
            <w:rFonts w:ascii="Arial" w:eastAsia="Times New Roman" w:hAnsi="Arial" w:cs="Arial"/>
            <w:sz w:val="21"/>
            <w:szCs w:val="21"/>
            <w:lang w:val="en"/>
          </w:rPr>
          <w:t>Ambassador-at-Large for International Religious Freedom</w:t>
        </w:r>
      </w:hyperlink>
      <w:r w:rsidRPr="00563E7B">
        <w:rPr>
          <w:rFonts w:ascii="Arial" w:eastAsia="Times New Roman" w:hAnsi="Arial" w:cs="Arial"/>
          <w:sz w:val="21"/>
          <w:szCs w:val="21"/>
          <w:lang w:val="en"/>
        </w:rPr>
        <w:t> within the </w:t>
      </w:r>
      <w:hyperlink r:id="rId10" w:tooltip="United States Department of State" w:history="1">
        <w:r w:rsidRPr="00563E7B">
          <w:rPr>
            <w:rFonts w:ascii="Arial" w:eastAsia="Times New Roman" w:hAnsi="Arial" w:cs="Arial"/>
            <w:sz w:val="21"/>
            <w:szCs w:val="21"/>
            <w:lang w:val="en"/>
          </w:rPr>
          <w:t>Department of State</w:t>
        </w:r>
      </w:hyperlink>
      <w:r w:rsidRPr="00563E7B">
        <w:rPr>
          <w:rFonts w:ascii="Arial" w:eastAsia="Times New Roman" w:hAnsi="Arial" w:cs="Arial"/>
          <w:sz w:val="21"/>
          <w:szCs w:val="21"/>
          <w:lang w:val="en"/>
        </w:rPr>
        <w:t>, who is the highest-ranking US diplomat on international religious freedom, and who is tasked with carrying out the provisions of IRFA: the Annual Report, negotiations with foreign governments to bring about greater religious freedom, and the determination of Countries of Particular Concern under IRFA, which entails further actions.</w:t>
      </w:r>
    </w:p>
    <w:p w:rsidR="0014788E" w:rsidRPr="00563E7B" w:rsidRDefault="0014788E" w:rsidP="00584D86">
      <w:pPr>
        <w:numPr>
          <w:ilvl w:val="0"/>
          <w:numId w:val="2"/>
        </w:numPr>
        <w:spacing w:before="100" w:beforeAutospacing="1" w:after="24" w:line="240" w:lineRule="auto"/>
        <w:ind w:left="-360" w:right="-630"/>
        <w:rPr>
          <w:rFonts w:ascii="Arial" w:eastAsia="Times New Roman" w:hAnsi="Arial" w:cs="Arial"/>
          <w:sz w:val="21"/>
          <w:szCs w:val="21"/>
          <w:lang w:val="en"/>
        </w:rPr>
      </w:pPr>
      <w:r w:rsidRPr="00563E7B">
        <w:rPr>
          <w:rFonts w:ascii="Arial" w:eastAsia="Times New Roman" w:hAnsi="Arial" w:cs="Arial"/>
          <w:sz w:val="21"/>
          <w:szCs w:val="21"/>
          <w:lang w:val="en"/>
        </w:rPr>
        <w:t>A </w:t>
      </w:r>
      <w:hyperlink r:id="rId11" w:tooltip="Bipartisanship" w:history="1">
        <w:r w:rsidRPr="00563E7B">
          <w:rPr>
            <w:rFonts w:ascii="Arial" w:eastAsia="Times New Roman" w:hAnsi="Arial" w:cs="Arial"/>
            <w:sz w:val="21"/>
            <w:szCs w:val="21"/>
            <w:lang w:val="en"/>
          </w:rPr>
          <w:t>bipartisan</w:t>
        </w:r>
      </w:hyperlink>
      <w:r w:rsidRPr="00563E7B">
        <w:rPr>
          <w:rFonts w:ascii="Arial" w:eastAsia="Times New Roman" w:hAnsi="Arial" w:cs="Arial"/>
          <w:sz w:val="21"/>
          <w:szCs w:val="21"/>
          <w:lang w:val="en"/>
        </w:rPr>
        <w:t> </w:t>
      </w:r>
      <w:hyperlink r:id="rId12" w:tooltip="United States Commission on International Religious Freedom" w:history="1">
        <w:r w:rsidRPr="00563E7B">
          <w:rPr>
            <w:rFonts w:ascii="Arial" w:eastAsia="Times New Roman" w:hAnsi="Arial" w:cs="Arial"/>
            <w:sz w:val="21"/>
            <w:szCs w:val="21"/>
            <w:lang w:val="en"/>
          </w:rPr>
          <w:t>United States Commission on International Religious Freedom</w:t>
        </w:r>
      </w:hyperlink>
      <w:r w:rsidRPr="00563E7B">
        <w:rPr>
          <w:rFonts w:ascii="Arial" w:eastAsia="Times New Roman" w:hAnsi="Arial" w:cs="Arial"/>
          <w:sz w:val="21"/>
          <w:szCs w:val="21"/>
          <w:lang w:val="en"/>
        </w:rPr>
        <w:t>, designed to provide independent policy recommendations and fact-finding, and</w:t>
      </w:r>
    </w:p>
    <w:p w:rsidR="0014788E" w:rsidRPr="00563E7B" w:rsidRDefault="0014788E" w:rsidP="00584D86">
      <w:pPr>
        <w:numPr>
          <w:ilvl w:val="0"/>
          <w:numId w:val="2"/>
        </w:numPr>
        <w:spacing w:before="100" w:beforeAutospacing="1" w:after="24" w:line="240" w:lineRule="auto"/>
        <w:ind w:left="-360" w:right="-630"/>
        <w:rPr>
          <w:rFonts w:ascii="Arial" w:eastAsia="Times New Roman" w:hAnsi="Arial" w:cs="Arial"/>
          <w:sz w:val="21"/>
          <w:szCs w:val="21"/>
          <w:lang w:val="en"/>
        </w:rPr>
      </w:pPr>
      <w:r w:rsidRPr="00563E7B">
        <w:rPr>
          <w:rFonts w:ascii="Arial" w:eastAsia="Times New Roman" w:hAnsi="Arial" w:cs="Arial"/>
          <w:sz w:val="21"/>
          <w:szCs w:val="21"/>
          <w:lang w:val="en"/>
        </w:rPr>
        <w:t>A Special Adviser on International Religious Freedom within the </w:t>
      </w:r>
      <w:hyperlink r:id="rId13" w:tooltip="United States National Security Council" w:history="1">
        <w:r w:rsidRPr="00563E7B">
          <w:rPr>
            <w:rFonts w:ascii="Arial" w:eastAsia="Times New Roman" w:hAnsi="Arial" w:cs="Arial"/>
            <w:sz w:val="21"/>
            <w:szCs w:val="21"/>
            <w:lang w:val="en"/>
          </w:rPr>
          <w:t>National Security Council</w:t>
        </w:r>
      </w:hyperlink>
      <w:r w:rsidRPr="00563E7B">
        <w:rPr>
          <w:rFonts w:ascii="Arial" w:eastAsia="Times New Roman" w:hAnsi="Arial" w:cs="Arial"/>
          <w:sz w:val="21"/>
          <w:szCs w:val="21"/>
          <w:lang w:val="en"/>
        </w:rPr>
        <w:t>.</w:t>
      </w:r>
      <w:hyperlink r:id="rId14" w:anchor="cite_note-IRFAtext-3" w:history="1">
        <w:r w:rsidRPr="00563E7B">
          <w:rPr>
            <w:rFonts w:ascii="Arial" w:eastAsia="Times New Roman" w:hAnsi="Arial" w:cs="Arial"/>
            <w:sz w:val="17"/>
            <w:szCs w:val="17"/>
            <w:vertAlign w:val="superscript"/>
            <w:lang w:val="en"/>
          </w:rPr>
          <w:t>[3]</w:t>
        </w:r>
      </w:hyperlink>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 xml:space="preserve">IRFA was introduced on March 26, 1998 by Senator Don </w:t>
      </w:r>
      <w:proofErr w:type="spellStart"/>
      <w:r w:rsidRPr="00563E7B">
        <w:rPr>
          <w:rFonts w:ascii="Arial" w:eastAsia="Times New Roman" w:hAnsi="Arial" w:cs="Arial"/>
          <w:sz w:val="21"/>
          <w:szCs w:val="21"/>
          <w:lang w:val="en"/>
        </w:rPr>
        <w:t>Nickles</w:t>
      </w:r>
      <w:proofErr w:type="spellEnd"/>
      <w:r w:rsidRPr="00563E7B">
        <w:rPr>
          <w:rFonts w:ascii="Arial" w:eastAsia="Times New Roman" w:hAnsi="Arial" w:cs="Arial"/>
          <w:sz w:val="21"/>
          <w:szCs w:val="21"/>
          <w:lang w:val="en"/>
        </w:rPr>
        <w:t xml:space="preserve"> (R-OK), Senator Joseph Lieberman (D-CT) and others</w:t>
      </w:r>
      <w:r w:rsidR="00584D86">
        <w:rPr>
          <w:rFonts w:ascii="Arial" w:eastAsia="Times New Roman" w:hAnsi="Arial" w:cs="Arial"/>
          <w:sz w:val="21"/>
          <w:szCs w:val="21"/>
          <w:lang w:val="en"/>
        </w:rPr>
        <w:t>.</w:t>
      </w:r>
      <w:r w:rsidRPr="00563E7B">
        <w:rPr>
          <w:rFonts w:ascii="Arial" w:eastAsia="Times New Roman" w:hAnsi="Arial" w:cs="Arial"/>
          <w:sz w:val="21"/>
          <w:szCs w:val="21"/>
          <w:lang w:val="en"/>
        </w:rPr>
        <w:t xml:space="preserve"> On October 8, 1998, the Senate passed IRFA by a vote of </w:t>
      </w:r>
      <w:r w:rsidRPr="00801D52">
        <w:rPr>
          <w:rFonts w:ascii="Arial" w:eastAsia="Times New Roman" w:hAnsi="Arial" w:cs="Arial"/>
          <w:b/>
          <w:sz w:val="21"/>
          <w:szCs w:val="21"/>
          <w:u w:val="single"/>
          <w:lang w:val="en"/>
        </w:rPr>
        <w:t>98-0</w:t>
      </w:r>
      <w:r w:rsidRPr="00563E7B">
        <w:rPr>
          <w:rFonts w:ascii="Arial" w:eastAsia="Times New Roman" w:hAnsi="Arial" w:cs="Arial"/>
          <w:sz w:val="21"/>
          <w:szCs w:val="21"/>
          <w:lang w:val="en"/>
        </w:rPr>
        <w:t>. IRFA was passed in full by the House on the consent calendar on October 10, 1998.</w:t>
      </w:r>
    </w:p>
    <w:p w:rsidR="0014788E" w:rsidRPr="00563E7B" w:rsidRDefault="0014788E" w:rsidP="00584D86">
      <w:pPr>
        <w:pBdr>
          <w:bottom w:val="single" w:sz="6" w:space="0" w:color="A2A9B1"/>
        </w:pBdr>
        <w:spacing w:before="240" w:after="60" w:line="240" w:lineRule="auto"/>
        <w:ind w:left="-720" w:right="-630"/>
        <w:outlineLvl w:val="1"/>
        <w:rPr>
          <w:rFonts w:ascii="Georgia" w:eastAsia="Times New Roman" w:hAnsi="Georgia" w:cs="Arial"/>
          <w:sz w:val="32"/>
          <w:szCs w:val="32"/>
          <w:lang w:val="en"/>
        </w:rPr>
      </w:pPr>
      <w:r w:rsidRPr="00563E7B">
        <w:rPr>
          <w:rFonts w:ascii="Georgia" w:eastAsia="Times New Roman" w:hAnsi="Georgia" w:cs="Arial"/>
          <w:sz w:val="32"/>
          <w:szCs w:val="32"/>
          <w:lang w:val="en"/>
        </w:rPr>
        <w:t>History</w:t>
      </w:r>
      <w:r w:rsidR="00563E7B" w:rsidRPr="00563E7B">
        <w:rPr>
          <w:rFonts w:ascii="Georgia" w:eastAsia="Times New Roman" w:hAnsi="Georgia" w:cs="Arial"/>
          <w:sz w:val="32"/>
          <w:szCs w:val="32"/>
          <w:lang w:val="en"/>
        </w:rPr>
        <w:t xml:space="preserve"> </w:t>
      </w: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This Act was a response to the growing concern about </w:t>
      </w:r>
      <w:hyperlink r:id="rId15" w:tooltip="Religious persecution" w:history="1">
        <w:r w:rsidRPr="00563E7B">
          <w:rPr>
            <w:rFonts w:ascii="Arial" w:eastAsia="Times New Roman" w:hAnsi="Arial" w:cs="Arial"/>
            <w:sz w:val="21"/>
            <w:szCs w:val="21"/>
            <w:lang w:val="en"/>
          </w:rPr>
          <w:t>religious persecution</w:t>
        </w:r>
      </w:hyperlink>
      <w:r w:rsidRPr="00563E7B">
        <w:rPr>
          <w:rFonts w:ascii="Arial" w:eastAsia="Times New Roman" w:hAnsi="Arial" w:cs="Arial"/>
          <w:sz w:val="21"/>
          <w:szCs w:val="21"/>
          <w:lang w:val="en"/>
        </w:rPr>
        <w:t> throughout the world. There had been instances of toleration on the part of the governments when the religious rights of their citizens and others had been violated. There are governments around the world which openly sponsor and tolerate restrictions on their citizens' right to practice, observe, study, or associate with other members of their </w:t>
      </w:r>
      <w:hyperlink r:id="rId16" w:tooltip="Faith" w:history="1">
        <w:r w:rsidRPr="00563E7B">
          <w:rPr>
            <w:rFonts w:ascii="Arial" w:eastAsia="Times New Roman" w:hAnsi="Arial" w:cs="Arial"/>
            <w:sz w:val="21"/>
            <w:szCs w:val="21"/>
            <w:lang w:val="en"/>
          </w:rPr>
          <w:t>religious faith</w:t>
        </w:r>
      </w:hyperlink>
      <w:r w:rsidRPr="00563E7B">
        <w:rPr>
          <w:rFonts w:ascii="Arial" w:eastAsia="Times New Roman" w:hAnsi="Arial" w:cs="Arial"/>
          <w:sz w:val="21"/>
          <w:szCs w:val="21"/>
          <w:lang w:val="en"/>
        </w:rPr>
        <w:t>.</w:t>
      </w: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IRFA put in place a comprehensive structure headed by a high-ranking diplomat who could negotiate with other governments on behalf of the Pr</w:t>
      </w:r>
      <w:r w:rsidR="00584D86">
        <w:rPr>
          <w:rFonts w:ascii="Arial" w:eastAsia="Times New Roman" w:hAnsi="Arial" w:cs="Arial"/>
          <w:sz w:val="21"/>
          <w:szCs w:val="21"/>
          <w:lang w:val="en"/>
        </w:rPr>
        <w:t>esident</w:t>
      </w:r>
      <w:r w:rsidRPr="00563E7B">
        <w:rPr>
          <w:rFonts w:ascii="Arial" w:eastAsia="Times New Roman" w:hAnsi="Arial" w:cs="Arial"/>
          <w:sz w:val="21"/>
          <w:szCs w:val="21"/>
          <w:lang w:val="en"/>
        </w:rPr>
        <w:t>. IRFA also established the Annual Report on International Religious Freedom, which requires US embassies all over the world to interact with their counterparts and NGO's in the process of reporting, as well as requiring the US to state what efforts it has undertaken to promote religious freedom. In addition to the Ambassador at Large for International Religious Freedom, and the Annual Report, the cornerstone of IRFA is the requirement that each year the President review and determine whether any country has met the threshold, based on international human rights law, of "Country of Particular Concern" or CPC, engaging in or tolerating "particularly severe violations of religious freedom." The CPC determinations lead to a consultation and negotiations process resulting in a range of actions and sanctions if the offenses are not addressed. Based on similar successful provisions in trade law, IRFA included a ground-breaking provision that the goal of these negotiations was to secure a "Binding Agreement" to cease the violations. In such a case, sanctions would be withheld. In a landmark first for human rights, after designating Vietnam a CPC, Ambassador John Hanford (appointed by George W. Bush as IRF Ambassador from 2002-2009) secured a Binding Agreement under IRFA with Vietnam. Reversing the violations that had led to CPC designation, Vietnam issued a decree ordering the cessation of its practice of forced renunciations of faith, released all known religious prisoners, and allowed hundreds of churches it had shut down to re-open. To date this is the only Binding Agreement secured under IRFA, but it demonstrates the IRFA policy goal of securing systemic change rather than mere punishment.</w:t>
      </w:r>
    </w:p>
    <w:p w:rsidR="0014788E" w:rsidRPr="00563E7B" w:rsidRDefault="0014788E" w:rsidP="00584D86">
      <w:pPr>
        <w:pBdr>
          <w:bottom w:val="single" w:sz="6" w:space="0" w:color="A2A9B1"/>
        </w:pBdr>
        <w:spacing w:before="240" w:after="60" w:line="240" w:lineRule="auto"/>
        <w:ind w:left="-720" w:right="-630"/>
        <w:outlineLvl w:val="1"/>
        <w:rPr>
          <w:rFonts w:ascii="Georgia" w:eastAsia="Times New Roman" w:hAnsi="Georgia" w:cs="Arial"/>
          <w:sz w:val="32"/>
          <w:szCs w:val="32"/>
          <w:lang w:val="en"/>
        </w:rPr>
      </w:pPr>
      <w:r w:rsidRPr="00563E7B">
        <w:rPr>
          <w:rFonts w:ascii="Georgia" w:eastAsia="Times New Roman" w:hAnsi="Georgia" w:cs="Arial"/>
          <w:sz w:val="32"/>
          <w:szCs w:val="32"/>
          <w:lang w:val="en"/>
        </w:rPr>
        <w:t>Scope and substance of the Act</w:t>
      </w: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 xml:space="preserve">As per the Act, the Congress and the President are obligated to </w:t>
      </w:r>
      <w:proofErr w:type="gramStart"/>
      <w:r w:rsidRPr="00563E7B">
        <w:rPr>
          <w:rFonts w:ascii="Arial" w:eastAsia="Times New Roman" w:hAnsi="Arial" w:cs="Arial"/>
          <w:sz w:val="21"/>
          <w:szCs w:val="21"/>
          <w:lang w:val="en"/>
        </w:rPr>
        <w:t>take into account</w:t>
      </w:r>
      <w:proofErr w:type="gramEnd"/>
      <w:r w:rsidRPr="00563E7B">
        <w:rPr>
          <w:rFonts w:ascii="Arial" w:eastAsia="Times New Roman" w:hAnsi="Arial" w:cs="Arial"/>
          <w:sz w:val="21"/>
          <w:szCs w:val="21"/>
          <w:lang w:val="en"/>
        </w:rPr>
        <w:t xml:space="preserve"> the various issues of religious freedom while developing the country's foreign policy. Under Title I of the Act, a permanent infrastructure within the State Department is created for dealing with religious issues. This is known as the Office of International Religious Freedom, headed by the Ambassador at Large for International Religious Freedom, who wields the authority to negotiate on behalf of the President with other governments, and oversees the Annual Report and the designation of Countries of Particular Concern (CPC). </w:t>
      </w:r>
      <w:r w:rsidRPr="00801D52">
        <w:rPr>
          <w:rFonts w:ascii="Arial" w:eastAsia="Times New Roman" w:hAnsi="Arial" w:cs="Arial"/>
          <w:b/>
          <w:sz w:val="21"/>
          <w:szCs w:val="21"/>
          <w:lang w:val="en"/>
        </w:rPr>
        <w:t>Title I</w:t>
      </w:r>
      <w:r w:rsidRPr="00563E7B">
        <w:rPr>
          <w:rFonts w:ascii="Arial" w:eastAsia="Times New Roman" w:hAnsi="Arial" w:cs="Arial"/>
          <w:sz w:val="21"/>
          <w:szCs w:val="21"/>
          <w:lang w:val="en"/>
        </w:rPr>
        <w:t xml:space="preserve"> also </w:t>
      </w:r>
      <w:proofErr w:type="gramStart"/>
      <w:r w:rsidRPr="00563E7B">
        <w:rPr>
          <w:rFonts w:ascii="Arial" w:eastAsia="Times New Roman" w:hAnsi="Arial" w:cs="Arial"/>
          <w:sz w:val="21"/>
          <w:szCs w:val="21"/>
          <w:lang w:val="en"/>
        </w:rPr>
        <w:t>details</w:t>
      </w:r>
      <w:proofErr w:type="gramEnd"/>
      <w:r w:rsidRPr="00563E7B">
        <w:rPr>
          <w:rFonts w:ascii="Arial" w:eastAsia="Times New Roman" w:hAnsi="Arial" w:cs="Arial"/>
          <w:sz w:val="21"/>
          <w:szCs w:val="21"/>
          <w:lang w:val="en"/>
        </w:rPr>
        <w:t xml:space="preserve"> the composition of the Annual Report on International Religious Freedom. </w:t>
      </w:r>
      <w:r w:rsidRPr="00801D52">
        <w:rPr>
          <w:rFonts w:ascii="Arial" w:eastAsia="Times New Roman" w:hAnsi="Arial" w:cs="Arial"/>
          <w:b/>
          <w:sz w:val="21"/>
          <w:szCs w:val="21"/>
          <w:lang w:val="en"/>
        </w:rPr>
        <w:t>Title II</w:t>
      </w:r>
      <w:r w:rsidRPr="00563E7B">
        <w:rPr>
          <w:rFonts w:ascii="Arial" w:eastAsia="Times New Roman" w:hAnsi="Arial" w:cs="Arial"/>
          <w:sz w:val="21"/>
          <w:szCs w:val="21"/>
          <w:lang w:val="en"/>
        </w:rPr>
        <w:t xml:space="preserve"> creates the Commission on International Religious Freedom and </w:t>
      </w:r>
      <w:r w:rsidRPr="00801D52">
        <w:rPr>
          <w:rFonts w:ascii="Arial" w:eastAsia="Times New Roman" w:hAnsi="Arial" w:cs="Arial"/>
          <w:b/>
          <w:sz w:val="21"/>
          <w:szCs w:val="21"/>
          <w:lang w:val="en"/>
        </w:rPr>
        <w:t>Title III</w:t>
      </w:r>
      <w:r w:rsidRPr="00563E7B">
        <w:rPr>
          <w:rFonts w:ascii="Arial" w:eastAsia="Times New Roman" w:hAnsi="Arial" w:cs="Arial"/>
          <w:sz w:val="21"/>
          <w:szCs w:val="21"/>
          <w:lang w:val="en"/>
        </w:rPr>
        <w:t xml:space="preserve"> a special advisor to the president on international religious freedom within the National Security Council. The crux of the Act lies in </w:t>
      </w:r>
      <w:r w:rsidRPr="00801D52">
        <w:rPr>
          <w:rFonts w:ascii="Arial" w:eastAsia="Times New Roman" w:hAnsi="Arial" w:cs="Arial"/>
          <w:b/>
          <w:sz w:val="21"/>
          <w:szCs w:val="21"/>
          <w:lang w:val="en"/>
        </w:rPr>
        <w:t>Title IV</w:t>
      </w:r>
      <w:r w:rsidRPr="00563E7B">
        <w:rPr>
          <w:rFonts w:ascii="Arial" w:eastAsia="Times New Roman" w:hAnsi="Arial" w:cs="Arial"/>
          <w:sz w:val="21"/>
          <w:szCs w:val="21"/>
          <w:lang w:val="en"/>
        </w:rPr>
        <w:t>. Title IV details the requirement that the President annually review and determine whether any country has met the CPC threshold, based in international human rights law, of "engaging in or tolerating particularly severe violations of religious freedom". Any designation then leads to a series of negotiations and consultations resulting in a number of possible actions available to the president, in consultation of the secretary of state, the ambassador at large, the National Security Council special advisor, and the commission, desig</w:t>
      </w:r>
      <w:r w:rsidR="00563E7B">
        <w:rPr>
          <w:rFonts w:ascii="Arial" w:eastAsia="Times New Roman" w:hAnsi="Arial" w:cs="Arial"/>
          <w:sz w:val="21"/>
          <w:szCs w:val="21"/>
          <w:lang w:val="en"/>
        </w:rPr>
        <w:t>n a response to those countries</w:t>
      </w:r>
      <w:hyperlink r:id="rId17" w:anchor="cite_note-assign-7" w:history="1"/>
      <w:r w:rsidRPr="00563E7B">
        <w:rPr>
          <w:rFonts w:ascii="Arial" w:eastAsia="Times New Roman" w:hAnsi="Arial" w:cs="Arial"/>
          <w:sz w:val="21"/>
          <w:szCs w:val="21"/>
          <w:lang w:val="en"/>
        </w:rPr>
        <w:t>. In practice this authority of the President is delegated to the Secretary of State and the Ambassador.</w:t>
      </w:r>
    </w:p>
    <w:p w:rsidR="0014788E" w:rsidRPr="00563E7B" w:rsidRDefault="0014788E" w:rsidP="00584D86">
      <w:pPr>
        <w:spacing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Countries that are severe violators of religious freedom are categorized as CPC's and this subjects them to punitive</w:t>
      </w:r>
      <w:r w:rsidR="00801D52">
        <w:rPr>
          <w:rFonts w:ascii="Arial" w:eastAsia="Times New Roman" w:hAnsi="Arial" w:cs="Arial"/>
          <w:sz w:val="21"/>
          <w:szCs w:val="21"/>
          <w:lang w:val="en"/>
        </w:rPr>
        <w:t xml:space="preserve"> actions</w:t>
      </w:r>
      <w:r w:rsidRPr="00563E7B">
        <w:rPr>
          <w:rFonts w:ascii="Arial" w:eastAsia="Times New Roman" w:hAnsi="Arial" w:cs="Arial"/>
          <w:sz w:val="21"/>
          <w:szCs w:val="21"/>
          <w:lang w:val="en"/>
        </w:rPr>
        <w:t>. Under this section, the president must either enter into a binding agreement with the concerned country to end the religious persecution, or to choose from remedies outlined the Act. This section offers the president fifteen options to exercise against countries engaging in religious persecution, ranging from private negotiations to sanctions, or a "commensurate action" not listed in IRFA but which would serve the purpose of advancing religious freedom. These include</w:t>
      </w:r>
    </w:p>
    <w:p w:rsidR="0014788E" w:rsidRPr="00563E7B" w:rsidRDefault="0014788E" w:rsidP="00584D86">
      <w:pPr>
        <w:numPr>
          <w:ilvl w:val="0"/>
          <w:numId w:val="5"/>
        </w:numPr>
        <w:tabs>
          <w:tab w:val="clear" w:pos="2880"/>
          <w:tab w:val="num" w:pos="90"/>
        </w:tabs>
        <w:spacing w:after="24" w:line="240" w:lineRule="auto"/>
        <w:ind w:left="-720" w:right="-630" w:firstLine="360"/>
        <w:rPr>
          <w:rFonts w:ascii="Arial" w:eastAsia="Times New Roman" w:hAnsi="Arial" w:cs="Arial"/>
          <w:sz w:val="21"/>
          <w:szCs w:val="21"/>
          <w:lang w:val="en"/>
        </w:rPr>
      </w:pPr>
      <w:r w:rsidRPr="00563E7B">
        <w:rPr>
          <w:rFonts w:ascii="Arial" w:eastAsia="Times New Roman" w:hAnsi="Arial" w:cs="Arial"/>
          <w:sz w:val="21"/>
          <w:szCs w:val="21"/>
          <w:lang w:val="en"/>
        </w:rPr>
        <w:t>a private or a public </w:t>
      </w:r>
      <w:hyperlink r:id="rId18" w:tooltip="Demarche" w:history="1">
        <w:r w:rsidRPr="00563E7B">
          <w:rPr>
            <w:rFonts w:ascii="Arial" w:eastAsia="Times New Roman" w:hAnsi="Arial" w:cs="Arial"/>
            <w:sz w:val="21"/>
            <w:szCs w:val="21"/>
            <w:lang w:val="en"/>
          </w:rPr>
          <w:t>demarche</w:t>
        </w:r>
      </w:hyperlink>
      <w:r w:rsidRPr="00563E7B">
        <w:rPr>
          <w:rFonts w:ascii="Arial" w:eastAsia="Times New Roman" w:hAnsi="Arial" w:cs="Arial"/>
          <w:sz w:val="21"/>
          <w:szCs w:val="21"/>
          <w:lang w:val="en"/>
        </w:rPr>
        <w:t>;</w:t>
      </w:r>
    </w:p>
    <w:p w:rsidR="0014788E" w:rsidRPr="00563E7B" w:rsidRDefault="0014788E" w:rsidP="00584D86">
      <w:pPr>
        <w:numPr>
          <w:ilvl w:val="0"/>
          <w:numId w:val="5"/>
        </w:numPr>
        <w:tabs>
          <w:tab w:val="clear" w:pos="2880"/>
          <w:tab w:val="num" w:pos="90"/>
        </w:tabs>
        <w:spacing w:after="24" w:line="240" w:lineRule="auto"/>
        <w:ind w:left="-720" w:right="-630" w:firstLine="360"/>
        <w:rPr>
          <w:rFonts w:ascii="Arial" w:eastAsia="Times New Roman" w:hAnsi="Arial" w:cs="Arial"/>
          <w:sz w:val="21"/>
          <w:szCs w:val="21"/>
          <w:lang w:val="en"/>
        </w:rPr>
      </w:pPr>
      <w:r w:rsidRPr="00563E7B">
        <w:rPr>
          <w:rFonts w:ascii="Arial" w:eastAsia="Times New Roman" w:hAnsi="Arial" w:cs="Arial"/>
          <w:sz w:val="21"/>
          <w:szCs w:val="21"/>
          <w:lang w:val="en"/>
        </w:rPr>
        <w:t>a private or public condemnation;</w:t>
      </w:r>
    </w:p>
    <w:p w:rsidR="0014788E" w:rsidRPr="00563E7B" w:rsidRDefault="0014788E" w:rsidP="00584D86">
      <w:pPr>
        <w:numPr>
          <w:ilvl w:val="0"/>
          <w:numId w:val="5"/>
        </w:numPr>
        <w:tabs>
          <w:tab w:val="clear" w:pos="2880"/>
          <w:tab w:val="num" w:pos="90"/>
        </w:tabs>
        <w:spacing w:before="100" w:beforeAutospacing="1" w:after="24" w:line="240" w:lineRule="auto"/>
        <w:ind w:left="-720" w:right="-630" w:firstLine="360"/>
        <w:rPr>
          <w:rFonts w:ascii="Arial" w:eastAsia="Times New Roman" w:hAnsi="Arial" w:cs="Arial"/>
          <w:sz w:val="21"/>
          <w:szCs w:val="21"/>
          <w:lang w:val="en"/>
        </w:rPr>
      </w:pPr>
      <w:r w:rsidRPr="00563E7B">
        <w:rPr>
          <w:rFonts w:ascii="Arial" w:eastAsia="Times New Roman" w:hAnsi="Arial" w:cs="Arial"/>
          <w:sz w:val="21"/>
          <w:szCs w:val="21"/>
          <w:lang w:val="en"/>
        </w:rPr>
        <w:t>the delay or cancellation of scientific or cultural exchanges;</w:t>
      </w:r>
    </w:p>
    <w:p w:rsidR="0014788E" w:rsidRPr="00563E7B" w:rsidRDefault="0014788E" w:rsidP="00584D86">
      <w:pPr>
        <w:numPr>
          <w:ilvl w:val="0"/>
          <w:numId w:val="5"/>
        </w:numPr>
        <w:tabs>
          <w:tab w:val="clear" w:pos="2880"/>
          <w:tab w:val="num" w:pos="90"/>
        </w:tabs>
        <w:spacing w:before="100" w:beforeAutospacing="1" w:after="24" w:line="240" w:lineRule="auto"/>
        <w:ind w:left="-720" w:right="-630" w:firstLine="360"/>
        <w:rPr>
          <w:rFonts w:ascii="Arial" w:eastAsia="Times New Roman" w:hAnsi="Arial" w:cs="Arial"/>
          <w:sz w:val="21"/>
          <w:szCs w:val="21"/>
          <w:lang w:val="en"/>
        </w:rPr>
      </w:pPr>
      <w:r w:rsidRPr="00563E7B">
        <w:rPr>
          <w:rFonts w:ascii="Arial" w:eastAsia="Times New Roman" w:hAnsi="Arial" w:cs="Arial"/>
          <w:sz w:val="21"/>
          <w:szCs w:val="21"/>
          <w:lang w:val="en"/>
        </w:rPr>
        <w:t>the denial, delay, or cancellation of working, official or </w:t>
      </w:r>
      <w:hyperlink r:id="rId19" w:tooltip="State visit" w:history="1">
        <w:r w:rsidRPr="00563E7B">
          <w:rPr>
            <w:rFonts w:ascii="Arial" w:eastAsia="Times New Roman" w:hAnsi="Arial" w:cs="Arial"/>
            <w:sz w:val="21"/>
            <w:szCs w:val="21"/>
            <w:lang w:val="en"/>
          </w:rPr>
          <w:t>state visits</w:t>
        </w:r>
      </w:hyperlink>
      <w:r w:rsidRPr="00563E7B">
        <w:rPr>
          <w:rFonts w:ascii="Arial" w:eastAsia="Times New Roman" w:hAnsi="Arial" w:cs="Arial"/>
          <w:sz w:val="21"/>
          <w:szCs w:val="21"/>
          <w:lang w:val="en"/>
        </w:rPr>
        <w:t>;</w:t>
      </w:r>
    </w:p>
    <w:p w:rsidR="0014788E" w:rsidRPr="00563E7B" w:rsidRDefault="0014788E" w:rsidP="00584D86">
      <w:pPr>
        <w:numPr>
          <w:ilvl w:val="0"/>
          <w:numId w:val="5"/>
        </w:numPr>
        <w:tabs>
          <w:tab w:val="clear" w:pos="2880"/>
          <w:tab w:val="num" w:pos="90"/>
        </w:tabs>
        <w:spacing w:before="100" w:beforeAutospacing="1" w:after="24" w:line="240" w:lineRule="auto"/>
        <w:ind w:left="-720" w:right="-630" w:firstLine="360"/>
        <w:rPr>
          <w:rFonts w:ascii="Arial" w:eastAsia="Times New Roman" w:hAnsi="Arial" w:cs="Arial"/>
          <w:sz w:val="21"/>
          <w:szCs w:val="21"/>
          <w:lang w:val="en"/>
        </w:rPr>
      </w:pPr>
      <w:r w:rsidRPr="00563E7B">
        <w:rPr>
          <w:rFonts w:ascii="Arial" w:eastAsia="Times New Roman" w:hAnsi="Arial" w:cs="Arial"/>
          <w:sz w:val="21"/>
          <w:szCs w:val="21"/>
          <w:lang w:val="en"/>
        </w:rPr>
        <w:t>the withdrawing, limitation, or suspension of some forms of U.S. aid;</w:t>
      </w:r>
    </w:p>
    <w:p w:rsidR="0014788E" w:rsidRPr="00563E7B" w:rsidRDefault="0014788E" w:rsidP="00584D86">
      <w:pPr>
        <w:numPr>
          <w:ilvl w:val="0"/>
          <w:numId w:val="5"/>
        </w:numPr>
        <w:tabs>
          <w:tab w:val="clear" w:pos="2880"/>
          <w:tab w:val="num" w:pos="90"/>
        </w:tabs>
        <w:spacing w:before="100" w:beforeAutospacing="1" w:after="24" w:line="240" w:lineRule="auto"/>
        <w:ind w:left="-720" w:right="-630" w:firstLine="360"/>
        <w:rPr>
          <w:rFonts w:ascii="Arial" w:eastAsia="Times New Roman" w:hAnsi="Arial" w:cs="Arial"/>
          <w:sz w:val="21"/>
          <w:szCs w:val="21"/>
          <w:lang w:val="en"/>
        </w:rPr>
      </w:pPr>
      <w:r w:rsidRPr="00563E7B">
        <w:rPr>
          <w:rFonts w:ascii="Arial" w:eastAsia="Times New Roman" w:hAnsi="Arial" w:cs="Arial"/>
          <w:sz w:val="21"/>
          <w:szCs w:val="21"/>
          <w:lang w:val="en"/>
        </w:rPr>
        <w:t>direction to public and private international institutions to deny assistance;</w:t>
      </w:r>
    </w:p>
    <w:p w:rsidR="0014788E" w:rsidRPr="00563E7B" w:rsidRDefault="0014788E" w:rsidP="00584D86">
      <w:pPr>
        <w:numPr>
          <w:ilvl w:val="0"/>
          <w:numId w:val="5"/>
        </w:numPr>
        <w:tabs>
          <w:tab w:val="clear" w:pos="2880"/>
          <w:tab w:val="num" w:pos="90"/>
        </w:tabs>
        <w:spacing w:before="100" w:beforeAutospacing="1" w:after="24" w:line="240" w:lineRule="auto"/>
        <w:ind w:left="90" w:right="-630" w:hanging="450"/>
        <w:rPr>
          <w:rFonts w:ascii="Arial" w:eastAsia="Times New Roman" w:hAnsi="Arial" w:cs="Arial"/>
          <w:sz w:val="21"/>
          <w:szCs w:val="21"/>
          <w:lang w:val="en"/>
        </w:rPr>
      </w:pPr>
      <w:r w:rsidRPr="00563E7B">
        <w:rPr>
          <w:rFonts w:ascii="Arial" w:eastAsia="Times New Roman" w:hAnsi="Arial" w:cs="Arial"/>
          <w:sz w:val="21"/>
          <w:szCs w:val="21"/>
          <w:lang w:val="en"/>
        </w:rPr>
        <w:t>and sanctions prohibiting the US government from entering into import or export agreements with the designated governments.</w:t>
      </w:r>
      <w:r w:rsidR="00563E7B" w:rsidRPr="00563E7B">
        <w:rPr>
          <w:rFonts w:ascii="Arial" w:eastAsia="Times New Roman" w:hAnsi="Arial" w:cs="Arial"/>
          <w:sz w:val="21"/>
          <w:szCs w:val="21"/>
          <w:lang w:val="en"/>
        </w:rPr>
        <w:t xml:space="preserve"> </w:t>
      </w: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 xml:space="preserve">Under Title IV, the president may waive punitive measures against the concerned country if he or she determines that national security is at risk or if the proposed action would harm rather than benefit the individuals and communities the Act is designed to help. </w:t>
      </w:r>
      <w:r w:rsidRPr="00801D52">
        <w:rPr>
          <w:rFonts w:ascii="Arial" w:eastAsia="Times New Roman" w:hAnsi="Arial" w:cs="Arial"/>
          <w:b/>
          <w:sz w:val="21"/>
          <w:szCs w:val="21"/>
          <w:lang w:val="en"/>
        </w:rPr>
        <w:t>Title V</w:t>
      </w:r>
      <w:r w:rsidRPr="00563E7B">
        <w:rPr>
          <w:rFonts w:ascii="Arial" w:eastAsia="Times New Roman" w:hAnsi="Arial" w:cs="Arial"/>
          <w:sz w:val="21"/>
          <w:szCs w:val="21"/>
          <w:lang w:val="en"/>
        </w:rPr>
        <w:t xml:space="preserve"> of the act seeks to promote religious freedom abroad through the way of international media, exchanges and </w:t>
      </w:r>
      <w:hyperlink r:id="rId20" w:tooltip="Diplomatic service" w:history="1">
        <w:r w:rsidRPr="00563E7B">
          <w:rPr>
            <w:rFonts w:ascii="Arial" w:eastAsia="Times New Roman" w:hAnsi="Arial" w:cs="Arial"/>
            <w:sz w:val="21"/>
            <w:szCs w:val="21"/>
            <w:lang w:val="en"/>
          </w:rPr>
          <w:t>foreign service</w:t>
        </w:r>
      </w:hyperlink>
      <w:r w:rsidRPr="00563E7B">
        <w:rPr>
          <w:rFonts w:ascii="Arial" w:eastAsia="Times New Roman" w:hAnsi="Arial" w:cs="Arial"/>
          <w:sz w:val="21"/>
          <w:szCs w:val="21"/>
          <w:lang w:val="en"/>
        </w:rPr>
        <w:t xml:space="preserve"> awards for working to promote human rights. </w:t>
      </w:r>
      <w:r w:rsidRPr="00801D52">
        <w:rPr>
          <w:rFonts w:ascii="Arial" w:eastAsia="Times New Roman" w:hAnsi="Arial" w:cs="Arial"/>
          <w:b/>
          <w:sz w:val="21"/>
          <w:szCs w:val="21"/>
          <w:lang w:val="en"/>
        </w:rPr>
        <w:t>Title VI</w:t>
      </w:r>
      <w:r w:rsidRPr="00563E7B">
        <w:rPr>
          <w:rFonts w:ascii="Arial" w:eastAsia="Times New Roman" w:hAnsi="Arial" w:cs="Arial"/>
          <w:sz w:val="21"/>
          <w:szCs w:val="21"/>
          <w:lang w:val="en"/>
        </w:rPr>
        <w:t xml:space="preserve"> requires appropriate training for asylum officers (domestic), refugee officers (abroad) and judges. The final provision of the Act, </w:t>
      </w:r>
      <w:r w:rsidRPr="00801D52">
        <w:rPr>
          <w:rFonts w:ascii="Arial" w:eastAsia="Times New Roman" w:hAnsi="Arial" w:cs="Arial"/>
          <w:b/>
          <w:sz w:val="21"/>
          <w:szCs w:val="21"/>
          <w:lang w:val="en"/>
        </w:rPr>
        <w:t>Title VII</w:t>
      </w:r>
      <w:r w:rsidRPr="00563E7B">
        <w:rPr>
          <w:rFonts w:ascii="Arial" w:eastAsia="Times New Roman" w:hAnsi="Arial" w:cs="Arial"/>
          <w:sz w:val="21"/>
          <w:szCs w:val="21"/>
          <w:lang w:val="en"/>
        </w:rPr>
        <w:t xml:space="preserve"> contains miscellaneous provisions, including 701, which urges transnational corporations to adopt codes of conduct sensitive to the right to freedom of religion.</w:t>
      </w:r>
      <w:r w:rsidR="00563E7B" w:rsidRPr="00563E7B">
        <w:rPr>
          <w:rFonts w:ascii="Arial" w:eastAsia="Times New Roman" w:hAnsi="Arial" w:cs="Arial"/>
          <w:sz w:val="21"/>
          <w:szCs w:val="21"/>
          <w:lang w:val="en"/>
        </w:rPr>
        <w:t xml:space="preserve"> </w:t>
      </w:r>
    </w:p>
    <w:p w:rsidR="0014788E" w:rsidRPr="00563E7B" w:rsidRDefault="0014788E" w:rsidP="00584D86">
      <w:pPr>
        <w:pBdr>
          <w:bottom w:val="single" w:sz="6" w:space="0" w:color="A2A9B1"/>
        </w:pBdr>
        <w:spacing w:before="240" w:after="60" w:line="240" w:lineRule="auto"/>
        <w:ind w:left="-720" w:right="-630"/>
        <w:outlineLvl w:val="1"/>
        <w:rPr>
          <w:rFonts w:ascii="Georgia" w:eastAsia="Times New Roman" w:hAnsi="Georgia" w:cs="Arial"/>
          <w:sz w:val="32"/>
          <w:szCs w:val="32"/>
          <w:lang w:val="en"/>
        </w:rPr>
      </w:pPr>
      <w:r w:rsidRPr="00563E7B">
        <w:rPr>
          <w:rFonts w:ascii="Georgia" w:eastAsia="Times New Roman" w:hAnsi="Georgia" w:cs="Arial"/>
          <w:sz w:val="32"/>
          <w:szCs w:val="32"/>
          <w:lang w:val="en"/>
        </w:rPr>
        <w:t>Justification and legal basis</w:t>
      </w: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IRFA was enacted by the US Congress on the basis of constitutional and </w:t>
      </w:r>
      <w:hyperlink r:id="rId21" w:tooltip="International law" w:history="1">
        <w:r w:rsidRPr="00563E7B">
          <w:rPr>
            <w:rFonts w:ascii="Arial" w:eastAsia="Times New Roman" w:hAnsi="Arial" w:cs="Arial"/>
            <w:sz w:val="21"/>
            <w:szCs w:val="21"/>
            <w:lang w:val="en"/>
          </w:rPr>
          <w:t>international law</w:t>
        </w:r>
      </w:hyperlink>
      <w:r w:rsidRPr="00563E7B">
        <w:rPr>
          <w:rFonts w:ascii="Arial" w:eastAsia="Times New Roman" w:hAnsi="Arial" w:cs="Arial"/>
          <w:sz w:val="21"/>
          <w:szCs w:val="21"/>
          <w:lang w:val="en"/>
        </w:rPr>
        <w:t> principles. Several of the sponsors of the bill spoke of the United States as being born out of the need for religious freedom, and that this principle was codified in the </w:t>
      </w:r>
      <w:hyperlink r:id="rId22" w:tooltip="First Amendment to the United States Constitution" w:history="1">
        <w:r w:rsidRPr="00563E7B">
          <w:rPr>
            <w:rFonts w:ascii="Arial" w:eastAsia="Times New Roman" w:hAnsi="Arial" w:cs="Arial"/>
            <w:sz w:val="21"/>
            <w:szCs w:val="21"/>
            <w:lang w:val="en"/>
          </w:rPr>
          <w:t>First Amendment to the United States Constitution</w:t>
        </w:r>
      </w:hyperlink>
      <w:r w:rsidRPr="00563E7B">
        <w:rPr>
          <w:rFonts w:ascii="Arial" w:eastAsia="Times New Roman" w:hAnsi="Arial" w:cs="Arial"/>
          <w:sz w:val="21"/>
          <w:szCs w:val="21"/>
          <w:lang w:val="en"/>
        </w:rPr>
        <w:t>. The First Amendment explicitly guarantees the fundamental right of religious freedom and liberty to practice any faith as according to one's choice. Their contention made, to this is that the United States has the duty to uphold this fundamental right. During a speech about the Act, on October 9, 1998, IRFA co-sponsor Senator </w:t>
      </w:r>
      <w:hyperlink r:id="rId23" w:tooltip="Joseph Lieberman" w:history="1">
        <w:r w:rsidRPr="00563E7B">
          <w:rPr>
            <w:rFonts w:ascii="Arial" w:eastAsia="Times New Roman" w:hAnsi="Arial" w:cs="Arial"/>
            <w:sz w:val="21"/>
            <w:szCs w:val="21"/>
            <w:lang w:val="en"/>
          </w:rPr>
          <w:t>Joseph Lieberman</w:t>
        </w:r>
      </w:hyperlink>
      <w:r w:rsidRPr="00563E7B">
        <w:rPr>
          <w:rFonts w:ascii="Arial" w:eastAsia="Times New Roman" w:hAnsi="Arial" w:cs="Arial"/>
          <w:sz w:val="21"/>
          <w:szCs w:val="21"/>
          <w:lang w:val="en"/>
        </w:rPr>
        <w:t> (D-CT), gave the reason as to why the </w:t>
      </w:r>
      <w:hyperlink r:id="rId24" w:tooltip="Founding Fathers" w:history="1">
        <w:r w:rsidRPr="00563E7B">
          <w:rPr>
            <w:rFonts w:ascii="Arial" w:eastAsia="Times New Roman" w:hAnsi="Arial" w:cs="Arial"/>
            <w:sz w:val="21"/>
            <w:szCs w:val="21"/>
            <w:lang w:val="en"/>
          </w:rPr>
          <w:t>founding fathers</w:t>
        </w:r>
      </w:hyperlink>
      <w:r w:rsidRPr="00563E7B">
        <w:rPr>
          <w:rFonts w:ascii="Arial" w:eastAsia="Times New Roman" w:hAnsi="Arial" w:cs="Arial"/>
          <w:sz w:val="21"/>
          <w:szCs w:val="21"/>
          <w:lang w:val="en"/>
        </w:rPr>
        <w:t> were drawn to America,</w:t>
      </w:r>
    </w:p>
    <w:p w:rsidR="0014788E" w:rsidRPr="00801D52" w:rsidRDefault="0014788E" w:rsidP="00584D86">
      <w:pPr>
        <w:spacing w:line="240" w:lineRule="auto"/>
        <w:ind w:left="-720" w:right="-630"/>
        <w:rPr>
          <w:rFonts w:ascii="Arial" w:eastAsia="Times New Roman" w:hAnsi="Arial" w:cs="Arial"/>
          <w:b/>
          <w:sz w:val="21"/>
          <w:szCs w:val="21"/>
          <w:lang w:val="en"/>
        </w:rPr>
      </w:pPr>
      <w:r w:rsidRPr="00801D52">
        <w:rPr>
          <w:rFonts w:ascii="Arial" w:eastAsia="Times New Roman" w:hAnsi="Arial" w:cs="Arial"/>
          <w:b/>
          <w:sz w:val="21"/>
          <w:szCs w:val="21"/>
          <w:lang w:val="en"/>
        </w:rPr>
        <w:t>because of a belief that no government has the right to tell the people how to worship and certainly not the right to discriminate against them or persecute them for the way they chose to express their faith in God.</w:t>
      </w:r>
    </w:p>
    <w:p w:rsidR="0014788E"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 xml:space="preserve">The principles of international law were made inherent in the act </w:t>
      </w:r>
      <w:proofErr w:type="gramStart"/>
      <w:r w:rsidRPr="00563E7B">
        <w:rPr>
          <w:rFonts w:ascii="Arial" w:eastAsia="Times New Roman" w:hAnsi="Arial" w:cs="Arial"/>
          <w:sz w:val="21"/>
          <w:szCs w:val="21"/>
          <w:lang w:val="en"/>
        </w:rPr>
        <w:t>so as to</w:t>
      </w:r>
      <w:proofErr w:type="gramEnd"/>
      <w:r w:rsidRPr="00563E7B">
        <w:rPr>
          <w:rFonts w:ascii="Arial" w:eastAsia="Times New Roman" w:hAnsi="Arial" w:cs="Arial"/>
          <w:sz w:val="21"/>
          <w:szCs w:val="21"/>
          <w:lang w:val="en"/>
        </w:rPr>
        <w:t xml:space="preserve"> clarify its commitment to promote international religious freedom. As per the Universal Declaration of Human Rights (UDHR) and the </w:t>
      </w:r>
      <w:hyperlink r:id="rId25" w:tooltip="International Covenant on Civil and Political Rights" w:history="1">
        <w:r w:rsidRPr="00563E7B">
          <w:rPr>
            <w:rFonts w:ascii="Arial" w:eastAsia="Times New Roman" w:hAnsi="Arial" w:cs="Arial"/>
            <w:sz w:val="21"/>
            <w:szCs w:val="21"/>
            <w:lang w:val="en"/>
          </w:rPr>
          <w:t>International Covenant on Civil and Political Rights</w:t>
        </w:r>
      </w:hyperlink>
      <w:r w:rsidRPr="00563E7B">
        <w:rPr>
          <w:rFonts w:ascii="Arial" w:eastAsia="Times New Roman" w:hAnsi="Arial" w:cs="Arial"/>
          <w:sz w:val="21"/>
          <w:szCs w:val="21"/>
          <w:lang w:val="en"/>
        </w:rPr>
        <w:t> (ICCPR), religious freedom is one of the most fundamental human rights outlined. This right explicitly includes the freedom to change religious faith or belief, and freedom, either alone or in community with others and in public or private, to manifest his religion or belief in teaching, practice, worship, and observance. All the members of the </w:t>
      </w:r>
      <w:hyperlink r:id="rId26" w:tooltip="United Nations" w:history="1">
        <w:r w:rsidRPr="00563E7B">
          <w:rPr>
            <w:rFonts w:ascii="Arial" w:eastAsia="Times New Roman" w:hAnsi="Arial" w:cs="Arial"/>
            <w:sz w:val="21"/>
            <w:szCs w:val="21"/>
            <w:lang w:val="en"/>
          </w:rPr>
          <w:t>United Nations</w:t>
        </w:r>
      </w:hyperlink>
      <w:r w:rsidRPr="00563E7B">
        <w:rPr>
          <w:rFonts w:ascii="Arial" w:eastAsia="Times New Roman" w:hAnsi="Arial" w:cs="Arial"/>
          <w:sz w:val="21"/>
          <w:szCs w:val="21"/>
          <w:lang w:val="en"/>
        </w:rPr>
        <w:t> have adopted the Universal Declaration of Human Rights by the virtue of their </w:t>
      </w:r>
      <w:hyperlink r:id="rId27" w:tooltip="United Nations member states" w:history="1">
        <w:r w:rsidRPr="00563E7B">
          <w:rPr>
            <w:rFonts w:ascii="Arial" w:eastAsia="Times New Roman" w:hAnsi="Arial" w:cs="Arial"/>
            <w:sz w:val="21"/>
            <w:szCs w:val="21"/>
            <w:lang w:val="en"/>
          </w:rPr>
          <w:t>UN membership</w:t>
        </w:r>
      </w:hyperlink>
      <w:r w:rsidRPr="00563E7B">
        <w:rPr>
          <w:rFonts w:ascii="Arial" w:eastAsia="Times New Roman" w:hAnsi="Arial" w:cs="Arial"/>
          <w:sz w:val="21"/>
          <w:szCs w:val="21"/>
          <w:lang w:val="en"/>
        </w:rPr>
        <w:t xml:space="preserve"> and are pledged to uphold its provisions. The Article 18(1) of the International Covenant on Civil and Political Rights was ratified with reservations in April 1992, also includes a freedom of religion clause </w:t>
      </w:r>
      <w:proofErr w:type="gramStart"/>
      <w:r w:rsidRPr="00563E7B">
        <w:rPr>
          <w:rFonts w:ascii="Arial" w:eastAsia="Times New Roman" w:hAnsi="Arial" w:cs="Arial"/>
          <w:sz w:val="21"/>
          <w:szCs w:val="21"/>
          <w:lang w:val="en"/>
        </w:rPr>
        <w:t>similar to</w:t>
      </w:r>
      <w:proofErr w:type="gramEnd"/>
      <w:r w:rsidRPr="00563E7B">
        <w:rPr>
          <w:rFonts w:ascii="Arial" w:eastAsia="Times New Roman" w:hAnsi="Arial" w:cs="Arial"/>
          <w:sz w:val="21"/>
          <w:szCs w:val="21"/>
          <w:lang w:val="en"/>
        </w:rPr>
        <w:t xml:space="preserve"> that of the UDHR's. The principles in the above-mentioned international law documents, according to the Act, create a sense of responsibility in its governments to protect the freedom of religion, which the Act does by exercising the United States' ability to choose its limit in dealing with countries that violate religious freedom.</w:t>
      </w:r>
    </w:p>
    <w:p w:rsidR="00941658" w:rsidRPr="00563E7B" w:rsidRDefault="0014788E" w:rsidP="00584D86">
      <w:pPr>
        <w:spacing w:before="120" w:after="120" w:line="240" w:lineRule="auto"/>
        <w:ind w:left="-720" w:right="-630"/>
        <w:rPr>
          <w:rFonts w:ascii="Arial" w:eastAsia="Times New Roman" w:hAnsi="Arial" w:cs="Arial"/>
          <w:sz w:val="21"/>
          <w:szCs w:val="21"/>
          <w:lang w:val="en"/>
        </w:rPr>
      </w:pPr>
      <w:r w:rsidRPr="00563E7B">
        <w:rPr>
          <w:rFonts w:ascii="Arial" w:eastAsia="Times New Roman" w:hAnsi="Arial" w:cs="Arial"/>
          <w:sz w:val="21"/>
          <w:szCs w:val="21"/>
          <w:lang w:val="en"/>
        </w:rPr>
        <w:t>The justification for this Act lies on the guarantee of freedom of religion found in </w:t>
      </w:r>
      <w:hyperlink r:id="rId28" w:tooltip="United States Constitution" w:history="1">
        <w:r w:rsidRPr="00563E7B">
          <w:rPr>
            <w:rFonts w:ascii="Arial" w:eastAsia="Times New Roman" w:hAnsi="Arial" w:cs="Arial"/>
            <w:sz w:val="21"/>
            <w:szCs w:val="21"/>
            <w:lang w:val="en"/>
          </w:rPr>
          <w:t>the US Constitution</w:t>
        </w:r>
      </w:hyperlink>
      <w:r w:rsidRPr="00563E7B">
        <w:rPr>
          <w:rFonts w:ascii="Arial" w:eastAsia="Times New Roman" w:hAnsi="Arial" w:cs="Arial"/>
          <w:sz w:val="21"/>
          <w:szCs w:val="21"/>
          <w:lang w:val="en"/>
        </w:rPr>
        <w:t> and in principles of international law. Critics of this Act would probably contend that while the US Constitution does prohibit Federal and State governments from infringing on the religious liberties of people living within the US, it does not obligate</w:t>
      </w:r>
      <w:bookmarkStart w:id="0" w:name="_GoBack"/>
      <w:bookmarkEnd w:id="0"/>
      <w:r w:rsidRPr="00563E7B">
        <w:rPr>
          <w:rFonts w:ascii="Arial" w:eastAsia="Times New Roman" w:hAnsi="Arial" w:cs="Arial"/>
          <w:sz w:val="21"/>
          <w:szCs w:val="21"/>
          <w:lang w:val="en"/>
        </w:rPr>
        <w:t xml:space="preserve"> or permit the US to use embargo or military intervention as means to uphold these rights abroad. The rejoinder would be that the US can prioritize those rights it holds most dear in its interaction with other states, and that IRFA is a means to help other nations secure freedoms to which they have already committed </w:t>
      </w:r>
      <w:r w:rsidR="00801D52" w:rsidRPr="00563E7B">
        <w:rPr>
          <w:rFonts w:ascii="Arial" w:eastAsia="Times New Roman" w:hAnsi="Arial" w:cs="Arial"/>
          <w:sz w:val="21"/>
          <w:szCs w:val="21"/>
          <w:lang w:val="en"/>
        </w:rPr>
        <w:t>themselves but</w:t>
      </w:r>
      <w:r w:rsidR="00563E7B" w:rsidRPr="00563E7B">
        <w:rPr>
          <w:rFonts w:ascii="Arial" w:eastAsia="Times New Roman" w:hAnsi="Arial" w:cs="Arial"/>
          <w:sz w:val="21"/>
          <w:szCs w:val="21"/>
          <w:lang w:val="en"/>
        </w:rPr>
        <w:t xml:space="preserve"> may not in fact uphold.</w:t>
      </w:r>
    </w:p>
    <w:sectPr w:rsidR="00941658" w:rsidRPr="00563E7B" w:rsidSect="00584D86">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80A8E"/>
    <w:multiLevelType w:val="multilevel"/>
    <w:tmpl w:val="109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D51D1B"/>
    <w:multiLevelType w:val="multilevel"/>
    <w:tmpl w:val="98C65420"/>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2" w15:restartNumberingAfterBreak="0">
    <w:nsid w:val="5FDD7E17"/>
    <w:multiLevelType w:val="multilevel"/>
    <w:tmpl w:val="0F98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14DF0"/>
    <w:multiLevelType w:val="multilevel"/>
    <w:tmpl w:val="6F906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CD217B"/>
    <w:multiLevelType w:val="multilevel"/>
    <w:tmpl w:val="45F0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5685D"/>
    <w:multiLevelType w:val="multilevel"/>
    <w:tmpl w:val="08AE5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BF"/>
    <w:rsid w:val="0014788E"/>
    <w:rsid w:val="002D60C4"/>
    <w:rsid w:val="00563E7B"/>
    <w:rsid w:val="00584D86"/>
    <w:rsid w:val="00801D52"/>
    <w:rsid w:val="00941658"/>
    <w:rsid w:val="009D4785"/>
    <w:rsid w:val="00A2292D"/>
    <w:rsid w:val="00C727A9"/>
    <w:rsid w:val="00E6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93FB"/>
  <w15:chartTrackingRefBased/>
  <w15:docId w15:val="{54FD7A29-5168-4491-8797-68C7229B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47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7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8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88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4788E"/>
    <w:rPr>
      <w:color w:val="0000FF"/>
      <w:u w:val="single"/>
    </w:rPr>
  </w:style>
  <w:style w:type="paragraph" w:styleId="NormalWeb">
    <w:name w:val="Normal (Web)"/>
    <w:basedOn w:val="Normal"/>
    <w:uiPriority w:val="99"/>
    <w:semiHidden/>
    <w:unhideWhenUsed/>
    <w:rsid w:val="00147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14788E"/>
  </w:style>
  <w:style w:type="character" w:customStyle="1" w:styleId="toctext">
    <w:name w:val="toctext"/>
    <w:basedOn w:val="DefaultParagraphFont"/>
    <w:rsid w:val="0014788E"/>
  </w:style>
  <w:style w:type="character" w:customStyle="1" w:styleId="mw-headline">
    <w:name w:val="mw-headline"/>
    <w:basedOn w:val="DefaultParagraphFont"/>
    <w:rsid w:val="0014788E"/>
  </w:style>
  <w:style w:type="character" w:customStyle="1" w:styleId="mw-editsection">
    <w:name w:val="mw-editsection"/>
    <w:basedOn w:val="DefaultParagraphFont"/>
    <w:rsid w:val="0014788E"/>
  </w:style>
  <w:style w:type="character" w:customStyle="1" w:styleId="mw-editsection-bracket">
    <w:name w:val="mw-editsection-bracket"/>
    <w:basedOn w:val="DefaultParagraphFont"/>
    <w:rsid w:val="0014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04596">
      <w:bodyDiv w:val="1"/>
      <w:marLeft w:val="0"/>
      <w:marRight w:val="0"/>
      <w:marTop w:val="0"/>
      <w:marBottom w:val="0"/>
      <w:divBdr>
        <w:top w:val="none" w:sz="0" w:space="0" w:color="auto"/>
        <w:left w:val="none" w:sz="0" w:space="0" w:color="auto"/>
        <w:bottom w:val="none" w:sz="0" w:space="0" w:color="auto"/>
        <w:right w:val="none" w:sz="0" w:space="0" w:color="auto"/>
      </w:divBdr>
      <w:divsChild>
        <w:div w:id="1968855426">
          <w:marLeft w:val="0"/>
          <w:marRight w:val="0"/>
          <w:marTop w:val="0"/>
          <w:marBottom w:val="0"/>
          <w:divBdr>
            <w:top w:val="none" w:sz="0" w:space="0" w:color="auto"/>
            <w:left w:val="none" w:sz="0" w:space="0" w:color="auto"/>
            <w:bottom w:val="none" w:sz="0" w:space="0" w:color="auto"/>
            <w:right w:val="none" w:sz="0" w:space="0" w:color="auto"/>
          </w:divBdr>
          <w:divsChild>
            <w:div w:id="316544376">
              <w:marLeft w:val="0"/>
              <w:marRight w:val="0"/>
              <w:marTop w:val="0"/>
              <w:marBottom w:val="0"/>
              <w:divBdr>
                <w:top w:val="none" w:sz="0" w:space="0" w:color="auto"/>
                <w:left w:val="none" w:sz="0" w:space="0" w:color="auto"/>
                <w:bottom w:val="none" w:sz="0" w:space="0" w:color="auto"/>
                <w:right w:val="none" w:sz="0" w:space="0" w:color="auto"/>
              </w:divBdr>
            </w:div>
            <w:div w:id="1913082408">
              <w:marLeft w:val="0"/>
              <w:marRight w:val="0"/>
              <w:marTop w:val="0"/>
              <w:marBottom w:val="0"/>
              <w:divBdr>
                <w:top w:val="none" w:sz="0" w:space="0" w:color="auto"/>
                <w:left w:val="none" w:sz="0" w:space="0" w:color="auto"/>
                <w:bottom w:val="none" w:sz="0" w:space="0" w:color="auto"/>
                <w:right w:val="none" w:sz="0" w:space="0" w:color="auto"/>
              </w:divBdr>
              <w:divsChild>
                <w:div w:id="768239312">
                  <w:marLeft w:val="0"/>
                  <w:marRight w:val="0"/>
                  <w:marTop w:val="0"/>
                  <w:marBottom w:val="0"/>
                  <w:divBdr>
                    <w:top w:val="none" w:sz="0" w:space="0" w:color="auto"/>
                    <w:left w:val="none" w:sz="0" w:space="0" w:color="auto"/>
                    <w:bottom w:val="none" w:sz="0" w:space="0" w:color="auto"/>
                    <w:right w:val="none" w:sz="0" w:space="0" w:color="auto"/>
                  </w:divBdr>
                  <w:divsChild>
                    <w:div w:id="1658922712">
                      <w:marLeft w:val="0"/>
                      <w:marRight w:val="0"/>
                      <w:marTop w:val="0"/>
                      <w:marBottom w:val="0"/>
                      <w:divBdr>
                        <w:top w:val="none" w:sz="0" w:space="0" w:color="auto"/>
                        <w:left w:val="none" w:sz="0" w:space="0" w:color="auto"/>
                        <w:bottom w:val="none" w:sz="0" w:space="0" w:color="auto"/>
                        <w:right w:val="none" w:sz="0" w:space="0" w:color="auto"/>
                      </w:divBdr>
                    </w:div>
                    <w:div w:id="78448845">
                      <w:marLeft w:val="0"/>
                      <w:marRight w:val="0"/>
                      <w:marTop w:val="0"/>
                      <w:marBottom w:val="0"/>
                      <w:divBdr>
                        <w:top w:val="single" w:sz="6" w:space="5" w:color="A2A9B1"/>
                        <w:left w:val="single" w:sz="6" w:space="5" w:color="A2A9B1"/>
                        <w:bottom w:val="single" w:sz="6" w:space="5" w:color="A2A9B1"/>
                        <w:right w:val="single" w:sz="6" w:space="5" w:color="A2A9B1"/>
                      </w:divBdr>
                    </w:div>
                    <w:div w:id="977612188">
                      <w:blockQuote w:val="1"/>
                      <w:marLeft w:val="0"/>
                      <w:marRight w:val="0"/>
                      <w:marTop w:val="240"/>
                      <w:marBottom w:val="240"/>
                      <w:divBdr>
                        <w:top w:val="none" w:sz="0" w:space="0" w:color="auto"/>
                        <w:left w:val="none" w:sz="0" w:space="0" w:color="auto"/>
                        <w:bottom w:val="none" w:sz="0" w:space="0" w:color="auto"/>
                        <w:right w:val="none" w:sz="0" w:space="0" w:color="auto"/>
                      </w:divBdr>
                    </w:div>
                    <w:div w:id="396361825">
                      <w:marLeft w:val="0"/>
                      <w:marRight w:val="0"/>
                      <w:marTop w:val="0"/>
                      <w:marBottom w:val="120"/>
                      <w:divBdr>
                        <w:top w:val="none" w:sz="0" w:space="0" w:color="auto"/>
                        <w:left w:val="none" w:sz="0" w:space="0" w:color="auto"/>
                        <w:bottom w:val="none" w:sz="0" w:space="0" w:color="auto"/>
                        <w:right w:val="none" w:sz="0" w:space="0" w:color="auto"/>
                      </w:divBdr>
                    </w:div>
                    <w:div w:id="43313068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ll_Clinton" TargetMode="External"/><Relationship Id="rId13" Type="http://schemas.openxmlformats.org/officeDocument/2006/relationships/hyperlink" Target="https://en.wikipedia.org/wiki/United_States_National_Security_Council" TargetMode="External"/><Relationship Id="rId18" Type="http://schemas.openxmlformats.org/officeDocument/2006/relationships/hyperlink" Target="https://en.wikipedia.org/wiki/Demarche" TargetMode="External"/><Relationship Id="rId26" Type="http://schemas.openxmlformats.org/officeDocument/2006/relationships/hyperlink" Target="https://en.wikipedia.org/wiki/United_Nations" TargetMode="External"/><Relationship Id="rId3" Type="http://schemas.openxmlformats.org/officeDocument/2006/relationships/settings" Target="settings.xml"/><Relationship Id="rId21" Type="http://schemas.openxmlformats.org/officeDocument/2006/relationships/hyperlink" Target="https://en.wikipedia.org/wiki/International_law" TargetMode="External"/><Relationship Id="rId7" Type="http://schemas.openxmlformats.org/officeDocument/2006/relationships/hyperlink" Target="https://en.wikipedia.org/wiki/President_of_the_United_States" TargetMode="External"/><Relationship Id="rId12" Type="http://schemas.openxmlformats.org/officeDocument/2006/relationships/hyperlink" Target="https://en.wikipedia.org/wiki/United_States_Commission_on_International_Religious_Freedom" TargetMode="External"/><Relationship Id="rId17" Type="http://schemas.openxmlformats.org/officeDocument/2006/relationships/hyperlink" Target="https://en.wikipedia.org/wiki/International_Religious_Freedom_Act_of_1998" TargetMode="External"/><Relationship Id="rId25" Type="http://schemas.openxmlformats.org/officeDocument/2006/relationships/hyperlink" Target="https://en.wikipedia.org/wiki/International_Covenant_on_Civil_and_Political_Rights" TargetMode="External"/><Relationship Id="rId2" Type="http://schemas.openxmlformats.org/officeDocument/2006/relationships/styles" Target="styles.xml"/><Relationship Id="rId16" Type="http://schemas.openxmlformats.org/officeDocument/2006/relationships/hyperlink" Target="https://en.wikipedia.org/wiki/Faith" TargetMode="External"/><Relationship Id="rId20" Type="http://schemas.openxmlformats.org/officeDocument/2006/relationships/hyperlink" Target="https://en.wikipedia.org/wiki/Diplomatic_servi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Foreign_policy_of_the_United_States" TargetMode="External"/><Relationship Id="rId11" Type="http://schemas.openxmlformats.org/officeDocument/2006/relationships/hyperlink" Target="https://en.wikipedia.org/wiki/Bipartisanship" TargetMode="External"/><Relationship Id="rId24" Type="http://schemas.openxmlformats.org/officeDocument/2006/relationships/hyperlink" Target="https://en.wikipedia.org/wiki/Founding_Fathers" TargetMode="External"/><Relationship Id="rId5" Type="http://schemas.openxmlformats.org/officeDocument/2006/relationships/hyperlink" Target="https://en.wikipedia.org/wiki/Freedom_of_religion" TargetMode="External"/><Relationship Id="rId15" Type="http://schemas.openxmlformats.org/officeDocument/2006/relationships/hyperlink" Target="https://en.wikipedia.org/wiki/Religious_persecution" TargetMode="External"/><Relationship Id="rId23" Type="http://schemas.openxmlformats.org/officeDocument/2006/relationships/hyperlink" Target="https://en.wikipedia.org/wiki/Joseph_Lieberman" TargetMode="External"/><Relationship Id="rId28" Type="http://schemas.openxmlformats.org/officeDocument/2006/relationships/hyperlink" Target="https://en.wikipedia.org/wiki/United_States_Constitution" TargetMode="External"/><Relationship Id="rId10" Type="http://schemas.openxmlformats.org/officeDocument/2006/relationships/hyperlink" Target="https://en.wikipedia.org/wiki/United_States_Department_of_State" TargetMode="External"/><Relationship Id="rId19" Type="http://schemas.openxmlformats.org/officeDocument/2006/relationships/hyperlink" Target="https://en.wikipedia.org/wiki/State_visit" TargetMode="External"/><Relationship Id="rId4" Type="http://schemas.openxmlformats.org/officeDocument/2006/relationships/webSettings" Target="webSettings.xml"/><Relationship Id="rId9" Type="http://schemas.openxmlformats.org/officeDocument/2006/relationships/hyperlink" Target="https://en.wikipedia.org/wiki/Ambassador-at-Large_for_International_Religious_Freedom" TargetMode="External"/><Relationship Id="rId14" Type="http://schemas.openxmlformats.org/officeDocument/2006/relationships/hyperlink" Target="https://en.wikipedia.org/wiki/International_Religious_Freedom_Act_of_1998" TargetMode="External"/><Relationship Id="rId22" Type="http://schemas.openxmlformats.org/officeDocument/2006/relationships/hyperlink" Target="https://en.wikipedia.org/wiki/First_Amendment_to_the_United_States_Constitution" TargetMode="External"/><Relationship Id="rId27" Type="http://schemas.openxmlformats.org/officeDocument/2006/relationships/hyperlink" Target="https://en.wikipedia.org/wiki/United_Nations_member_stat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2018-10-17T04:15:00Z</dcterms:created>
  <dcterms:modified xsi:type="dcterms:W3CDTF">2018-10-17T06:10:00Z</dcterms:modified>
</cp:coreProperties>
</file>